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0" w:beforeAutospacing="0" w:after="0" w:afterAutospacing="0" w:line="580" w:lineRule="exact"/>
        <w:jc w:val="both"/>
        <w:textAlignment w:val="baseline"/>
        <w:rPr>
          <w:rStyle w:val="4"/>
          <w:rFonts w:ascii="黑体" w:hAnsi="黑体" w:eastAsia="黑体"/>
          <w:b w:val="0"/>
          <w:i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 w:bidi="ar-SA"/>
        </w:rPr>
      </w:pPr>
      <w:r>
        <w:rPr>
          <w:rStyle w:val="4"/>
          <w:rFonts w:ascii="黑体" w:hAnsi="黑体" w:eastAsia="黑体"/>
          <w:b w:val="0"/>
          <w:i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 w:bidi="ar-SA"/>
        </w:rPr>
        <w:t>附件1</w:t>
      </w:r>
    </w:p>
    <w:p>
      <w:pPr>
        <w:snapToGrid/>
        <w:spacing w:before="0" w:beforeAutospacing="0" w:after="0" w:afterAutospacing="0" w:line="580" w:lineRule="exact"/>
        <w:jc w:val="center"/>
        <w:textAlignment w:val="baseline"/>
        <w:rPr>
          <w:rStyle w:val="4"/>
          <w:rFonts w:ascii="方正小标宋简体" w:hAnsi="方正小标宋简体" w:eastAsia="方正小标宋简体"/>
          <w:b w:val="0"/>
          <w:i w:val="0"/>
          <w:caps w:val="0"/>
          <w:color w:val="000000"/>
          <w:spacing w:val="0"/>
          <w:w w:val="100"/>
          <w:kern w:val="0"/>
          <w:sz w:val="36"/>
          <w:szCs w:val="36"/>
          <w:lang w:val="en-US" w:eastAsia="zh-CN" w:bidi="ar-SA"/>
        </w:rPr>
      </w:pPr>
      <w:r>
        <w:rPr>
          <w:rStyle w:val="4"/>
          <w:rFonts w:ascii="方正小标宋简体" w:hAnsi="方正小标宋简体" w:eastAsia="方正小标宋简体"/>
          <w:b w:val="0"/>
          <w:i w:val="0"/>
          <w:caps w:val="0"/>
          <w:color w:val="000000"/>
          <w:spacing w:val="0"/>
          <w:w w:val="100"/>
          <w:kern w:val="0"/>
          <w:sz w:val="36"/>
          <w:szCs w:val="36"/>
          <w:lang w:val="en-US" w:eastAsia="zh-CN" w:bidi="ar-SA"/>
        </w:rPr>
        <w:t>博士后招收方向</w:t>
      </w:r>
    </w:p>
    <w:p>
      <w:pPr>
        <w:snapToGrid/>
        <w:spacing w:before="0" w:beforeAutospacing="0" w:after="0" w:afterAutospacing="0" w:line="580" w:lineRule="exact"/>
        <w:jc w:val="center"/>
        <w:textAlignment w:val="baseline"/>
        <w:rPr>
          <w:rStyle w:val="4"/>
          <w:rFonts w:ascii="方正小标宋简体" w:hAnsi="方正小标宋简体" w:eastAsia="方正小标宋简体"/>
          <w:b w:val="0"/>
          <w:i w:val="0"/>
          <w:caps w:val="0"/>
          <w:color w:val="000000"/>
          <w:spacing w:val="0"/>
          <w:w w:val="100"/>
          <w:kern w:val="0"/>
          <w:sz w:val="36"/>
          <w:szCs w:val="36"/>
          <w:lang w:val="en-US" w:eastAsia="zh-CN" w:bidi="ar-SA"/>
        </w:rPr>
      </w:pPr>
    </w:p>
    <w:tbl>
      <w:tblPr>
        <w:tblStyle w:val="2"/>
        <w:tblW w:w="909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58"/>
        <w:gridCol w:w="4200"/>
        <w:gridCol w:w="1743"/>
        <w:gridCol w:w="129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  <w:tblHeader/>
          <w:jc w:val="center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Times New Roman" w:hAnsi="Times New Roman" w:eastAsia="宋体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专业板块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Times New Roman" w:hAnsi="Times New Roman" w:eastAsia="宋体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研究方向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Times New Roman" w:hAnsi="Times New Roman" w:eastAsia="宋体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需求专业背景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Times New Roman" w:hAnsi="Times New Roman" w:eastAsia="宋体" w:cs="Times New Roman"/>
                <w:b/>
                <w:bCs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7" w:hRule="atLeast"/>
          <w:jc w:val="center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海上风电工程</w:t>
            </w: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技术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ascii="Times New Roman" w:hAnsi="Times New Roman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1.新型漂浮式风电基础及系泊系统</w:t>
            </w:r>
          </w:p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ascii="Times New Roman" w:hAnsi="Times New Roman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2.动态电缆</w:t>
            </w:r>
          </w:p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ascii="Times New Roman" w:hAnsi="Times New Roman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3.海上风电场抗震</w:t>
            </w:r>
          </w:p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ascii="Times New Roman" w:hAnsi="Times New Roman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4.深水区海上风电支撑结构减振技术</w:t>
            </w:r>
          </w:p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ascii="Times New Roman" w:hAnsi="Times New Roman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5.深水区新型固定式风电支撑结构</w:t>
            </w:r>
          </w:p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ascii="Times New Roman" w:hAnsi="Times New Roman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6.海上风电场岩土工程精准勘察及高级测试分析</w:t>
            </w:r>
          </w:p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ascii="Times New Roman" w:hAnsi="Times New Roman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7.海上风电机组地基基础冲刷及防护</w:t>
            </w:r>
          </w:p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ascii="Times New Roman" w:hAnsi="Times New Roman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8.海上风电场智能监测及动态反馈</w:t>
            </w:r>
          </w:p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ascii="Times New Roman" w:hAnsi="Times New Roman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9.海上风电智能运行维护</w:t>
            </w:r>
          </w:p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10.深远海海上工程施工及装备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船舶与海洋工程、结构工程、岩土工程、水工结构工程、港口与航道工程、力学、电力工程（电缆方向）等相关专业</w:t>
            </w: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4" w:hRule="atLeast"/>
          <w:jc w:val="center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海洋能、氢能及地热能开发</w:t>
            </w: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技术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4"/>
                <w:rFonts w:ascii="Times New Roman" w:hAnsi="Times New Roman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1.波浪能开发</w:t>
            </w: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4"/>
                <w:rFonts w:ascii="Times New Roman" w:hAnsi="Times New Roman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2.潮流能开发</w:t>
            </w: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4"/>
                <w:rFonts w:ascii="Times New Roman" w:hAnsi="Times New Roman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3.海洋温差能开发</w:t>
            </w: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4"/>
                <w:rFonts w:ascii="Times New Roman" w:hAnsi="Times New Roman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4.海洋盐差能开发</w:t>
            </w: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4"/>
                <w:rFonts w:ascii="Times New Roman" w:hAnsi="Times New Roman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5.氢能开发</w:t>
            </w: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4"/>
                <w:rFonts w:ascii="Times New Roman" w:hAnsi="Times New Roman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6.海上风电与氢能或海洋能综合开发</w:t>
            </w: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4"/>
                <w:rFonts w:ascii="Times New Roman" w:hAnsi="Times New Roman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7.海上光伏发电</w:t>
            </w: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8.地热能发电技术（干热岩发电技术优先）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船舶与海洋工程、 港口与航道工程、力学、 机械工程、能源工程、岩土工程等相关</w:t>
            </w: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专业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5" w:hRule="atLeast"/>
          <w:jc w:val="center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海上风电场</w:t>
            </w: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电力系统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4"/>
                <w:rFonts w:ascii="Times New Roman" w:hAnsi="Times New Roman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1.远距离海上风电交流及直流电力输送</w:t>
            </w: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4"/>
                <w:rFonts w:ascii="Times New Roman" w:hAnsi="Times New Roman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2.轻型海上换流站及关键设备</w:t>
            </w: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4"/>
                <w:rFonts w:ascii="Times New Roman" w:hAnsi="Times New Roman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3.百万千万级海上升压站</w:t>
            </w: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4.集电线路优化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电气工程等</w:t>
            </w: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相关专业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9" w:hRule="atLeast"/>
          <w:jc w:val="center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新型电力系统、储能及碳中和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1.</w:t>
            </w: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新型电力系统电力规划技术与模型优化</w:t>
            </w: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2.新型储能技术</w:t>
            </w: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3.新型储能系统与新能源开发匹配关键技术</w:t>
            </w: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4.高比例新能源微电网技术</w:t>
            </w: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5.风光水储协同控制</w:t>
            </w: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6.共享储能与交易模式</w:t>
            </w: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7.智慧化综合能源技术应用</w:t>
            </w: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8.碳捕捉、存储及利用技术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电气工程、能源工程、数学规划、人工智能等相关专业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水利水电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1.抽水蓄能电力规划及经济评价</w:t>
            </w: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2.复杂地质及高地震烈度区域水电站及抽蓄电站水工建筑物</w:t>
            </w: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 xml:space="preserve">3.海洋抽水蓄能 </w:t>
            </w: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4.常规水电抽蓄改造及利用</w:t>
            </w: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5.气垫式调压室</w:t>
            </w: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6.水电站及抽蓄电站复杂引水系统过渡过程</w:t>
            </w: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7.深厚覆盖层筑坝</w:t>
            </w: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8.高水头冲击式水轮机</w:t>
            </w: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9.水电站深埋式地下厂房</w:t>
            </w: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10.水电站及抽蓄电站智能建造</w:t>
            </w: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11.大型河口水闸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水利水电工程建筑、水工结构、水力机械、海洋工程、岩土工程、电气工程等相关</w:t>
            </w: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3" w:hRule="atLeast"/>
          <w:jc w:val="center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污水污泥处理处置及综合</w:t>
            </w: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利用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5"/>
              <w:widowControl/>
              <w:snapToGrid/>
              <w:spacing w:before="0" w:beforeAutospacing="0" w:after="0" w:afterAutospacing="0" w:line="240" w:lineRule="auto"/>
              <w:ind w:left="0" w:leftChars="0" w:firstLine="480" w:firstLineChars="200"/>
              <w:jc w:val="both"/>
              <w:textAlignment w:val="baseline"/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lang w:val="en-US" w:eastAsia="zh-CN"/>
              </w:rPr>
              <w:t>1.</w:t>
            </w: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  <w:t>污水处理低氮脱氮技术</w:t>
            </w:r>
          </w:p>
          <w:p>
            <w:pPr>
              <w:pStyle w:val="5"/>
              <w:widowControl/>
              <w:snapToGrid/>
              <w:spacing w:before="0" w:beforeAutospacing="0" w:after="0" w:afterAutospacing="0" w:line="240" w:lineRule="auto"/>
              <w:ind w:left="0" w:leftChars="0" w:firstLine="480" w:firstLineChars="200"/>
              <w:jc w:val="both"/>
              <w:textAlignment w:val="baseline"/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</w:pPr>
            <w:r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lang w:val="en-US" w:eastAsia="zh-CN"/>
              </w:rPr>
              <w:t>2.</w:t>
            </w:r>
            <w:r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</w:rPr>
              <w:t>污水处理能源协同供给</w:t>
            </w: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3.</w:t>
            </w:r>
            <w:r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污水处理厂药剂选择及投放</w:t>
            </w: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4.固体废弃物处置及综合利用</w:t>
            </w: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5.污泥厌氧消化</w:t>
            </w: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6.污泥协同处置</w:t>
            </w: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7.多源污泥处理处置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给排水、环境工程、环境科学、市政工程、固废工程、微生物学、自动化、计算机科学与技术、等相关专业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2" w:hRule="atLeast"/>
          <w:jc w:val="center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生态湿地、生态系统及碳核算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1.生态产品价值实现</w:t>
            </w: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2.生态环保产业碳核算</w:t>
            </w: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3.人工湿地污染物去除</w:t>
            </w: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4.城市土壤修复</w:t>
            </w: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5.长江口生态系统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给排水、环境工程、环境科学、市政工程、生态学、植物学、生物学、土壤学、农业学、微生物学等相关专业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2" w:hRule="atLeast"/>
          <w:jc w:val="center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气象对清洁能源及生态环保业务支持技术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1.超短期和短期精细化天气预报</w:t>
            </w: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2.短期气候预测</w:t>
            </w: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3.风电场微尺度计算流体力学模型</w:t>
            </w: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4.中尺度数值模式嵌套</w:t>
            </w: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5.数值天气预报模式误差订正和概率预报校准技术</w:t>
            </w: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6.电力气象大数据融合</w:t>
            </w: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7.气象灾害风险评估与预警</w:t>
            </w: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8.大型风电场气候效应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大气科学、应用气象学、大气探测、大气遥感等气象类相关专业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2" w:hRule="atLeast"/>
          <w:jc w:val="center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智慧工程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1.自主CTG三维模型基础数据</w:t>
            </w: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2.三维图形引擎算法优化</w:t>
            </w: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3.智能设计平台</w:t>
            </w: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4.双碳环境下的区块链技术应用</w:t>
            </w: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5.无人机自主智能巡检技术</w:t>
            </w: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6.机理模型与数据模型融合的设施设备运维决策管理平台</w:t>
            </w: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7.水电/风电设备智能运维</w:t>
            </w: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8.水电站智慧运维</w:t>
            </w: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9.风机结构安全分析平台</w:t>
            </w: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10.工程智慧管控中的视觉识别及语音识别</w:t>
            </w: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11.流域安全与综合减灾智能平台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BIM、GIS、计算机、物联网、大数据、人工智能等相关</w:t>
            </w: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atLeast"/>
          <w:jc w:val="center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其他</w:t>
            </w:r>
          </w:p>
        </w:tc>
        <w:tc>
          <w:tcPr>
            <w:tcW w:w="59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4"/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如博士的研究方向与公司战略发展方向高度契合，也可与院共商研究课题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4"/>
                <w:rFonts w:ascii="Times New Roman" w:hAnsi="Times New Roman" w:eastAsia="宋体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</w:tbl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4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szCs w:val="24"/>
          <w:lang w:val="en-US" w:eastAsia="zh-CN" w:bidi="ar-SA"/>
        </w:rPr>
      </w:pPr>
    </w:p>
    <w:p>
      <w:pPr>
        <w:snapToGrid/>
        <w:spacing w:before="0" w:beforeAutospacing="0" w:after="0" w:afterAutospacing="0" w:line="580" w:lineRule="exact"/>
        <w:jc w:val="both"/>
        <w:textAlignment w:val="baseline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1C189F"/>
    <w:rsid w:val="0F1C1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4"/>
    <w:uiPriority w:val="0"/>
    <w:pPr>
      <w:jc w:val="both"/>
      <w:textAlignment w:val="baseline"/>
    </w:pPr>
    <w:rPr>
      <w:rFonts w:ascii="Times New Roman" w:hAnsi="Times New Roman" w:eastAsia="宋体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link w:val="1"/>
    <w:semiHidden/>
    <w:uiPriority w:val="0"/>
    <w:rPr>
      <w:rFonts w:ascii="Times New Roman" w:hAnsi="Times New Roman" w:eastAsia="宋体" w:cstheme="minorBidi"/>
      <w:kern w:val="2"/>
      <w:sz w:val="21"/>
      <w:szCs w:val="24"/>
      <w:lang w:val="en-US" w:eastAsia="zh-CN" w:bidi="ar-SA"/>
    </w:rPr>
  </w:style>
  <w:style w:type="paragraph" w:customStyle="1" w:styleId="5">
    <w:name w:val="179"/>
    <w:basedOn w:val="1"/>
    <w:uiPriority w:val="0"/>
    <w:pPr>
      <w:ind w:firstLine="420" w:firstLineChars="200"/>
      <w:jc w:val="both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2021-10-09T02:04:00Z</dcterms:created>
  <dc:creator>黄倩</dc:creator>
  <cp:lastModifiedBy>黄倩</cp:lastModifiedBy>
  <dcterms:modified xsi:type="dcterms:W3CDTF">2021-10-09T02:05:22Z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2052-11.1.0.10395</vt:lpwstr>
  </property>
  <property fmtid="{D5CDD505-2E9C-101B-9397-08002B2CF9AE}" pid="3" name="ICV">
    <vt:lpwstr>6C426ECD6A534478BA953A9E26C9B465</vt:lpwstr>
  </property>
</Properties>
</file>