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三峡科技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本部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竞聘报名表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仿宋简体" w:hAnsi="Times New Roman" w:eastAsia="方正仿宋简体"/>
          <w:sz w:val="21"/>
          <w:szCs w:val="21"/>
          <w:highlight w:val="none"/>
          <w:lang w:val="en-US" w:eastAsia="zh-CN"/>
        </w:rPr>
      </w:pPr>
    </w:p>
    <w:tbl>
      <w:tblPr>
        <w:tblStyle w:val="4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12"/>
        <w:gridCol w:w="1292"/>
        <w:gridCol w:w="1221"/>
        <w:gridCol w:w="637"/>
        <w:gridCol w:w="1142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职业(执业）资格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熟悉专业或特长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全日制学历及学位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在职教育学历或学位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现在单位（或部门）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职务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（岗位）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近三年考核结果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第一志愿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第二志愿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69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是否服从调剂：是（  ）/否（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工作履历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主要工作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业绩及获奖情况</w:t>
            </w:r>
          </w:p>
        </w:tc>
        <w:tc>
          <w:tcPr>
            <w:tcW w:w="6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sz w:val="11"/>
          <w:szCs w:val="11"/>
        </w:rPr>
      </w:pPr>
    </w:p>
    <w:p/>
    <w:sectPr>
      <w:pgSz w:w="11906" w:h="16838"/>
      <w:pgMar w:top="1440" w:right="1800" w:bottom="1440" w:left="1800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607CA"/>
    <w:rsid w:val="34E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atLeast"/>
      <w:ind w:firstLine="880" w:firstLineChars="200"/>
      <w:jc w:val="both"/>
    </w:pPr>
    <w:rPr>
      <w:rFonts w:ascii="方正仿宋简体" w:hAnsi="方正仿宋简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三峡高科信息技术有限责任公司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2023-06-21T02:46:00Z</dcterms:created>
  <dc:creator>刘兴茹</dc:creator>
  <cp:lastModifiedBy>刘兴茹</cp:lastModifiedBy>
  <dcterms:modified xsi:type="dcterms:W3CDTF">2023-06-21T02:46:56Z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1F025B9983A744B3B15249A9E479987F</vt:lpwstr>
  </property>
</Properties>
</file>